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39D98F">
      <w:pPr>
        <w:pStyle w:val="2"/>
        <w:tabs>
          <w:tab w:val="left" w:pos="4320"/>
        </w:tabs>
        <w:snapToGrid w:val="0"/>
        <w:spacing w:line="360" w:lineRule="auto"/>
        <w:jc w:val="center"/>
        <w:rPr>
          <w:rFonts w:ascii="Times New Roman" w:hAnsi="Times New Roman" w:cs="Times New Roman"/>
          <w:color w:val="000000"/>
          <w:sz w:val="24"/>
        </w:rPr>
      </w:pPr>
      <w:r>
        <w:rPr>
          <w:rFonts w:hint="eastAsia" w:ascii="Times New Roman" w:hAnsi="Times New Roman" w:cs="Times New Roman"/>
          <w:color w:val="000000"/>
          <w:sz w:val="24"/>
        </w:rPr>
        <w:drawing>
          <wp:inline distT="0" distB="0" distL="0" distR="0">
            <wp:extent cx="5334000" cy="685800"/>
            <wp:effectExtent l="0" t="0" r="0" b="0"/>
            <wp:docPr id="1" name="图片 1" descr="课后素养评价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后素养评价9.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a:xfrm>
                      <a:off x="0" y="0"/>
                      <a:ext cx="5334000" cy="685800"/>
                    </a:xfrm>
                    <a:prstGeom prst="rect">
                      <a:avLst/>
                    </a:prstGeom>
                    <a:noFill/>
                    <a:ln>
                      <a:noFill/>
                    </a:ln>
                  </pic:spPr>
                </pic:pic>
              </a:graphicData>
            </a:graphic>
          </wp:inline>
        </w:drawing>
      </w:r>
    </w:p>
    <w:p w14:paraId="7EAABF9F">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Ⅰ</w:t>
      </w:r>
      <w:r>
        <w:rPr>
          <w:rFonts w:ascii="Times New Roman" w:hAnsi="Times New Roman" w:eastAsia="黑体" w:cs="Times New Roman"/>
          <w:color w:val="000000"/>
          <w:sz w:val="24"/>
        </w:rPr>
        <w:t>. 阅读理解</w:t>
      </w:r>
    </w:p>
    <w:p w14:paraId="49DBC7FC">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This famous site features one of the largest and most representative collections of Buddhist architecture and art in China. It was rated as a 5A-class tourist attraction in 2010.</w:t>
      </w:r>
    </w:p>
    <w:p w14:paraId="63940FBD">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The Lingshan Grand Buddha is an 88-metre-high open-air bronze statue of Sakyamuni. It is 17 metres higher than the Grand Buddha at Leshan Mountain. It is part of the pattern of Five Buddhas in five directions together with the Big Buddha at Lantau Island in Hong Kong to the south, the Grand Buddha at Leshan Mountain to the west, the Grand Buddha in Yungang Caves to the north and the Grand Buddha at the Longmen Caves in the central area. At the feet of the Grand Buddha, you can feel the loftiness (雄伟) and dignity of Buddhism.</w:t>
      </w:r>
    </w:p>
    <w:p w14:paraId="057200F1">
      <w:pPr>
        <w:pStyle w:val="2"/>
        <w:tabs>
          <w:tab w:val="left" w:pos="4320"/>
        </w:tabs>
        <w:snapToGrid w:val="0"/>
        <w:spacing w:line="360" w:lineRule="auto"/>
        <w:ind w:firstLine="482" w:firstLineChars="200"/>
        <w:rPr>
          <w:rFonts w:ascii="Times New Roman" w:hAnsi="Times New Roman" w:cs="Times New Roman"/>
          <w:color w:val="000000"/>
          <w:sz w:val="24"/>
        </w:rPr>
      </w:pPr>
      <w:r>
        <w:rPr>
          <w:rFonts w:ascii="Times New Roman" w:hAnsi="Times New Roman" w:cs="Times New Roman"/>
          <w:b/>
          <w:color w:val="000000"/>
          <w:sz w:val="24"/>
        </w:rPr>
        <w:t>Tips</w:t>
      </w:r>
    </w:p>
    <w:p w14:paraId="03BEB4CE">
      <w:pPr>
        <w:pStyle w:val="2"/>
        <w:tabs>
          <w:tab w:val="left" w:pos="4320"/>
        </w:tabs>
        <w:snapToGrid w:val="0"/>
        <w:spacing w:line="360" w:lineRule="auto"/>
        <w:ind w:firstLine="482" w:firstLineChars="200"/>
        <w:rPr>
          <w:rFonts w:ascii="Times New Roman" w:hAnsi="Times New Roman" w:cs="Times New Roman"/>
          <w:color w:val="000000"/>
          <w:sz w:val="24"/>
        </w:rPr>
      </w:pPr>
      <w:r>
        <w:rPr>
          <w:rFonts w:ascii="Times New Roman" w:hAnsi="Times New Roman" w:cs="Times New Roman"/>
          <w:b/>
          <w:color w:val="000000"/>
          <w:sz w:val="24"/>
        </w:rPr>
        <w:t xml:space="preserve">Location: </w:t>
      </w:r>
      <w:r>
        <w:rPr>
          <w:rFonts w:ascii="Times New Roman" w:hAnsi="Times New Roman" w:cs="Times New Roman"/>
          <w:color w:val="000000"/>
          <w:sz w:val="24"/>
        </w:rPr>
        <w:t>Lingshan Road, Mashan town, Binhu district, Wuxi</w:t>
      </w:r>
    </w:p>
    <w:p w14:paraId="3F39E17F">
      <w:pPr>
        <w:pStyle w:val="2"/>
        <w:tabs>
          <w:tab w:val="left" w:pos="4320"/>
        </w:tabs>
        <w:snapToGrid w:val="0"/>
        <w:spacing w:line="360" w:lineRule="auto"/>
        <w:ind w:firstLine="482" w:firstLineChars="200"/>
        <w:rPr>
          <w:rFonts w:ascii="Times New Roman" w:hAnsi="Times New Roman" w:cs="Times New Roman"/>
          <w:color w:val="000000"/>
          <w:sz w:val="24"/>
        </w:rPr>
      </w:pPr>
      <w:r>
        <w:rPr>
          <w:rFonts w:ascii="Times New Roman" w:hAnsi="Times New Roman" w:cs="Times New Roman"/>
          <w:b/>
          <w:color w:val="000000"/>
          <w:sz w:val="24"/>
        </w:rPr>
        <w:t xml:space="preserve">Tickets: </w:t>
      </w:r>
      <w:r>
        <w:rPr>
          <w:rFonts w:ascii="Times New Roman" w:hAnsi="Times New Roman" w:cs="Times New Roman"/>
          <w:color w:val="000000"/>
          <w:sz w:val="24"/>
        </w:rPr>
        <w:t xml:space="preserve">A through ticket is 210 </w:t>
      </w:r>
      <w:r>
        <w:rPr>
          <w:rFonts w:ascii="Times New Roman" w:hAnsi="Times New Roman" w:cs="Times New Roman"/>
          <w:i/>
          <w:color w:val="000000"/>
          <w:sz w:val="24"/>
        </w:rPr>
        <w:t>yuan</w:t>
      </w:r>
      <w:r>
        <w:rPr>
          <w:rFonts w:ascii="Times New Roman" w:hAnsi="Times New Roman" w:cs="Times New Roman"/>
          <w:color w:val="000000"/>
          <w:sz w:val="24"/>
        </w:rPr>
        <w:t xml:space="preserve"> (about $30), with free tickets for the performance of </w:t>
      </w:r>
      <w:r>
        <w:rPr>
          <w:rFonts w:ascii="Times New Roman" w:hAnsi="Times New Roman" w:cs="Times New Roman"/>
          <w:i/>
          <w:color w:val="000000"/>
          <w:sz w:val="24"/>
        </w:rPr>
        <w:t>Ode</w:t>
      </w:r>
      <w:r>
        <w:rPr>
          <w:rFonts w:ascii="Times New Roman" w:hAnsi="Times New Roman" w:cs="Times New Roman"/>
          <w:color w:val="000000"/>
          <w:sz w:val="24"/>
        </w:rPr>
        <w:t xml:space="preserve"> </w:t>
      </w:r>
      <w:r>
        <w:rPr>
          <w:rFonts w:ascii="Times New Roman" w:hAnsi="Times New Roman" w:cs="Times New Roman"/>
          <w:i/>
          <w:color w:val="000000"/>
          <w:sz w:val="24"/>
        </w:rPr>
        <w:t>to</w:t>
      </w:r>
      <w:r>
        <w:rPr>
          <w:rFonts w:ascii="Times New Roman" w:hAnsi="Times New Roman" w:cs="Times New Roman"/>
          <w:color w:val="000000"/>
          <w:sz w:val="24"/>
        </w:rPr>
        <w:t xml:space="preserve"> </w:t>
      </w:r>
      <w:r>
        <w:rPr>
          <w:rFonts w:ascii="Times New Roman" w:hAnsi="Times New Roman" w:cs="Times New Roman"/>
          <w:i/>
          <w:color w:val="000000"/>
          <w:sz w:val="24"/>
        </w:rPr>
        <w:t>Auspiciousness</w:t>
      </w:r>
      <w:r>
        <w:rPr>
          <w:rFonts w:ascii="Times New Roman" w:hAnsi="Times New Roman" w:cs="Times New Roman"/>
          <w:color w:val="000000"/>
          <w:sz w:val="24"/>
        </w:rPr>
        <w:t xml:space="preserve"> for individual visitors.</w:t>
      </w:r>
    </w:p>
    <w:p w14:paraId="4CCBF58B">
      <w:pPr>
        <w:pStyle w:val="2"/>
        <w:tabs>
          <w:tab w:val="left" w:pos="4320"/>
        </w:tabs>
        <w:snapToGrid w:val="0"/>
        <w:spacing w:line="360" w:lineRule="auto"/>
        <w:ind w:firstLine="482" w:firstLineChars="200"/>
        <w:rPr>
          <w:rFonts w:ascii="Times New Roman" w:hAnsi="Times New Roman" w:cs="Times New Roman"/>
          <w:color w:val="000000"/>
          <w:sz w:val="24"/>
        </w:rPr>
      </w:pPr>
      <w:r>
        <w:rPr>
          <w:rFonts w:ascii="Times New Roman" w:hAnsi="Times New Roman" w:cs="Times New Roman"/>
          <w:b/>
          <w:color w:val="000000"/>
          <w:sz w:val="24"/>
        </w:rPr>
        <w:t xml:space="preserve">Opening hours for Lingshan Mountain: </w:t>
      </w:r>
      <w:r>
        <w:rPr>
          <w:rFonts w:ascii="Times New Roman" w:hAnsi="Times New Roman" w:cs="Times New Roman"/>
          <w:color w:val="000000"/>
          <w:sz w:val="24"/>
        </w:rPr>
        <w:t>7：00 to 17：00</w:t>
      </w:r>
    </w:p>
    <w:p w14:paraId="3DA9FED7">
      <w:pPr>
        <w:pStyle w:val="2"/>
        <w:tabs>
          <w:tab w:val="left" w:pos="4320"/>
        </w:tabs>
        <w:snapToGrid w:val="0"/>
        <w:spacing w:line="360" w:lineRule="auto"/>
        <w:ind w:firstLine="482" w:firstLineChars="200"/>
        <w:rPr>
          <w:rFonts w:ascii="Times New Roman" w:hAnsi="Times New Roman" w:cs="Times New Roman"/>
          <w:color w:val="000000"/>
          <w:sz w:val="24"/>
        </w:rPr>
      </w:pPr>
      <w:r>
        <w:rPr>
          <w:rFonts w:ascii="Times New Roman" w:hAnsi="Times New Roman" w:cs="Times New Roman"/>
          <w:b/>
          <w:color w:val="000000"/>
          <w:sz w:val="24"/>
        </w:rPr>
        <w:t xml:space="preserve">Opening hours for Brahma Palace: </w:t>
      </w:r>
      <w:r>
        <w:rPr>
          <w:rFonts w:ascii="Times New Roman" w:hAnsi="Times New Roman" w:cs="Times New Roman"/>
          <w:color w:val="000000"/>
          <w:sz w:val="24"/>
        </w:rPr>
        <w:t>9：00 to 18：00</w:t>
      </w:r>
    </w:p>
    <w:p w14:paraId="2D393FF8">
      <w:pPr>
        <w:pStyle w:val="2"/>
        <w:tabs>
          <w:tab w:val="left" w:pos="4320"/>
        </w:tabs>
        <w:snapToGrid w:val="0"/>
        <w:spacing w:line="360" w:lineRule="auto"/>
        <w:ind w:firstLine="482" w:firstLineChars="200"/>
        <w:rPr>
          <w:rFonts w:ascii="Times New Roman" w:hAnsi="Times New Roman" w:cs="Times New Roman"/>
          <w:color w:val="000000"/>
          <w:sz w:val="24"/>
        </w:rPr>
      </w:pPr>
      <w:r>
        <w:rPr>
          <w:rFonts w:ascii="Times New Roman" w:hAnsi="Times New Roman" w:cs="Times New Roman"/>
          <w:b/>
          <w:color w:val="000000"/>
          <w:sz w:val="24"/>
        </w:rPr>
        <w:t>Recommendations</w:t>
      </w:r>
    </w:p>
    <w:p w14:paraId="1F5794EA">
      <w:pPr>
        <w:pStyle w:val="2"/>
        <w:tabs>
          <w:tab w:val="left" w:pos="4320"/>
        </w:tabs>
        <w:snapToGrid w:val="0"/>
        <w:spacing w:line="360" w:lineRule="auto"/>
        <w:ind w:firstLine="482" w:firstLineChars="200"/>
        <w:rPr>
          <w:rFonts w:ascii="Times New Roman" w:hAnsi="Times New Roman" w:cs="Times New Roman"/>
          <w:color w:val="000000"/>
          <w:sz w:val="24"/>
        </w:rPr>
      </w:pPr>
      <w:r>
        <w:rPr>
          <w:rFonts w:ascii="Times New Roman" w:hAnsi="Times New Roman" w:cs="Times New Roman"/>
          <w:b/>
          <w:color w:val="000000"/>
          <w:sz w:val="24"/>
        </w:rPr>
        <w:t>The Nine-Dragon Fountain</w:t>
      </w:r>
    </w:p>
    <w:p w14:paraId="5315C3C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The Nine-Dragon Fountain in front of the giant Buddha will start to play music and the song, </w:t>
      </w:r>
      <w:r>
        <w:rPr>
          <w:rFonts w:ascii="Times New Roman" w:hAnsi="Times New Roman" w:cs="Times New Roman"/>
          <w:i/>
          <w:color w:val="000000"/>
          <w:sz w:val="24"/>
        </w:rPr>
        <w:t>The</w:t>
      </w:r>
      <w:r>
        <w:rPr>
          <w:rFonts w:ascii="Times New Roman" w:hAnsi="Times New Roman" w:cs="Times New Roman"/>
          <w:color w:val="000000"/>
          <w:sz w:val="24"/>
        </w:rPr>
        <w:t xml:space="preserve"> </w:t>
      </w:r>
      <w:r>
        <w:rPr>
          <w:rFonts w:ascii="Times New Roman" w:hAnsi="Times New Roman" w:cs="Times New Roman"/>
          <w:i/>
          <w:color w:val="000000"/>
          <w:sz w:val="24"/>
        </w:rPr>
        <w:t>Birth</w:t>
      </w:r>
      <w:r>
        <w:rPr>
          <w:rFonts w:ascii="Times New Roman" w:hAnsi="Times New Roman" w:cs="Times New Roman"/>
          <w:color w:val="000000"/>
          <w:sz w:val="24"/>
        </w:rPr>
        <w:t xml:space="preserve"> </w:t>
      </w:r>
      <w:r>
        <w:rPr>
          <w:rFonts w:ascii="Times New Roman" w:hAnsi="Times New Roman" w:cs="Times New Roman"/>
          <w:i/>
          <w:color w:val="000000"/>
          <w:sz w:val="24"/>
        </w:rPr>
        <w:t>of</w:t>
      </w:r>
      <w:r>
        <w:rPr>
          <w:rFonts w:ascii="Times New Roman" w:hAnsi="Times New Roman" w:cs="Times New Roman"/>
          <w:color w:val="000000"/>
          <w:sz w:val="24"/>
        </w:rPr>
        <w:t xml:space="preserve"> </w:t>
      </w:r>
      <w:r>
        <w:rPr>
          <w:rFonts w:ascii="Times New Roman" w:hAnsi="Times New Roman" w:cs="Times New Roman"/>
          <w:i/>
          <w:color w:val="000000"/>
          <w:sz w:val="24"/>
        </w:rPr>
        <w:t xml:space="preserve">Buddha, </w:t>
      </w:r>
      <w:r>
        <w:rPr>
          <w:rFonts w:ascii="Times New Roman" w:hAnsi="Times New Roman" w:cs="Times New Roman"/>
          <w:color w:val="000000"/>
          <w:sz w:val="24"/>
        </w:rPr>
        <w:t>at 10 am every day. A huge lotus (莲花) slowly blooms with six petals, and a 7-metre golden statue of Prince Buddha rises from the lotus, with one hand pointing to the sky and the other at the earth, symbolising Buddha's light shining on all things.</w:t>
      </w:r>
    </w:p>
    <w:p w14:paraId="23EF142D">
      <w:pPr>
        <w:pStyle w:val="2"/>
        <w:tabs>
          <w:tab w:val="left" w:pos="4320"/>
        </w:tabs>
        <w:snapToGrid w:val="0"/>
        <w:spacing w:line="360" w:lineRule="auto"/>
        <w:ind w:firstLine="482" w:firstLineChars="200"/>
        <w:rPr>
          <w:rFonts w:ascii="Times New Roman" w:hAnsi="Times New Roman" w:cs="Times New Roman"/>
          <w:color w:val="000000"/>
          <w:sz w:val="24"/>
        </w:rPr>
      </w:pPr>
      <w:r>
        <w:rPr>
          <w:rFonts w:ascii="Times New Roman" w:hAnsi="Times New Roman" w:cs="Times New Roman"/>
          <w:b/>
          <w:color w:val="000000"/>
          <w:sz w:val="24"/>
        </w:rPr>
        <w:t>The Brahma Palace</w:t>
      </w:r>
    </w:p>
    <w:p w14:paraId="2410DB04">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The whole palace shows the mixture of traditional cultural elements with Western architectural features. Many cultural heritage items and artworks can be found there. Its splendid design surprises every visitor.</w:t>
      </w:r>
    </w:p>
    <w:p w14:paraId="6EC62C7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本文是一篇应用文。文章介绍了著名的旅游景点——灵山大佛的地理位置、门票及开放时间等。</w:t>
      </w:r>
    </w:p>
    <w:p w14:paraId="180E871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What is the Lingshan Grand Buddha famous for?</w:t>
      </w:r>
    </w:p>
    <w:p w14:paraId="50D3DBB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Its long history.</w:t>
      </w:r>
    </w:p>
    <w:p w14:paraId="0FF9DB0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Its special material.</w:t>
      </w:r>
    </w:p>
    <w:p w14:paraId="368280C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Its geographical location.</w:t>
      </w:r>
    </w:p>
    <w:p w14:paraId="1A4A18A1">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Its typical collections of architecture and art.</w:t>
      </w:r>
    </w:p>
    <w:p w14:paraId="082E9DF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细节理解题。根据第一段中的</w:t>
      </w:r>
      <w:r>
        <w:rPr>
          <w:rFonts w:ascii="Times New Roman" w:hAnsi="Times New Roman" w:cs="Times New Roman"/>
          <w:color w:val="000000"/>
          <w:sz w:val="24"/>
        </w:rPr>
        <w:t>“</w:t>
      </w:r>
      <w:r>
        <w:rPr>
          <w:rFonts w:ascii="Times New Roman" w:hAnsi="Times New Roman" w:eastAsia="楷体_GB2312" w:cs="Times New Roman"/>
          <w:color w:val="000000"/>
          <w:sz w:val="24"/>
        </w:rPr>
        <w:t>This famous site features one of the largest and most representative collections of Buddhist architecture and art in China.</w:t>
      </w:r>
      <w:r>
        <w:rPr>
          <w:rFonts w:ascii="Times New Roman" w:hAnsi="Times New Roman" w:cs="Times New Roman"/>
          <w:color w:val="000000"/>
          <w:sz w:val="24"/>
        </w:rPr>
        <w:t>”</w:t>
      </w:r>
      <w:r>
        <w:rPr>
          <w:rFonts w:ascii="Times New Roman" w:hAnsi="Times New Roman" w:eastAsia="楷体_GB2312" w:cs="Times New Roman"/>
          <w:color w:val="000000"/>
          <w:sz w:val="24"/>
        </w:rPr>
        <w:t>可知，灵山大佛以具有代表性的佛教建筑和艺术收藏出名。故选D。</w:t>
      </w:r>
    </w:p>
    <w:p w14:paraId="50C8AD3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What do we know about the performance of </w:t>
      </w:r>
      <w:r>
        <w:rPr>
          <w:rFonts w:ascii="Times New Roman" w:hAnsi="Times New Roman" w:cs="Times New Roman"/>
          <w:i/>
          <w:color w:val="000000"/>
          <w:sz w:val="24"/>
        </w:rPr>
        <w:t>Ode</w:t>
      </w:r>
      <w:r>
        <w:rPr>
          <w:rFonts w:ascii="Times New Roman" w:hAnsi="Times New Roman" w:cs="Times New Roman"/>
          <w:color w:val="000000"/>
          <w:sz w:val="24"/>
        </w:rPr>
        <w:t xml:space="preserve"> </w:t>
      </w:r>
      <w:r>
        <w:rPr>
          <w:rFonts w:ascii="Times New Roman" w:hAnsi="Times New Roman" w:cs="Times New Roman"/>
          <w:i/>
          <w:color w:val="000000"/>
          <w:sz w:val="24"/>
        </w:rPr>
        <w:t>to</w:t>
      </w:r>
      <w:r>
        <w:rPr>
          <w:rFonts w:ascii="Times New Roman" w:hAnsi="Times New Roman" w:cs="Times New Roman"/>
          <w:color w:val="000000"/>
          <w:sz w:val="24"/>
        </w:rPr>
        <w:t xml:space="preserve"> </w:t>
      </w:r>
      <w:r>
        <w:rPr>
          <w:rFonts w:ascii="Times New Roman" w:hAnsi="Times New Roman" w:cs="Times New Roman"/>
          <w:i/>
          <w:color w:val="000000"/>
          <w:sz w:val="24"/>
        </w:rPr>
        <w:t>Auspiciousness?</w:t>
      </w:r>
    </w:p>
    <w:p w14:paraId="4B8E2C9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It's free if you get a through ticket.</w:t>
      </w:r>
    </w:p>
    <w:p w14:paraId="4EC32BE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B. It costs 210 </w:t>
      </w:r>
      <w:r>
        <w:rPr>
          <w:rFonts w:ascii="Times New Roman" w:hAnsi="Times New Roman" w:cs="Times New Roman"/>
          <w:i/>
          <w:color w:val="000000"/>
          <w:sz w:val="24"/>
        </w:rPr>
        <w:t>yuan</w:t>
      </w:r>
      <w:r>
        <w:rPr>
          <w:rFonts w:ascii="Times New Roman" w:hAnsi="Times New Roman" w:cs="Times New Roman"/>
          <w:color w:val="000000"/>
          <w:sz w:val="24"/>
        </w:rPr>
        <w:t xml:space="preserve"> at least.</w:t>
      </w:r>
    </w:p>
    <w:p w14:paraId="75D6B1A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It's available only for group visitors.</w:t>
      </w:r>
    </w:p>
    <w:p w14:paraId="636D4120">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It lasts 10 hours for visitors.</w:t>
      </w:r>
    </w:p>
    <w:p w14:paraId="34599E8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细节理解题。根据</w:t>
      </w:r>
      <w:r>
        <w:rPr>
          <w:rFonts w:ascii="Times New Roman" w:hAnsi="Times New Roman" w:eastAsia="楷体_GB2312" w:cs="Times New Roman"/>
          <w:b/>
          <w:color w:val="000000"/>
          <w:sz w:val="24"/>
        </w:rPr>
        <w:t>Tips</w:t>
      </w:r>
      <w:r>
        <w:rPr>
          <w:rFonts w:ascii="Times New Roman" w:hAnsi="Times New Roman" w:eastAsia="楷体_GB2312" w:cs="Times New Roman"/>
          <w:color w:val="000000"/>
          <w:sz w:val="24"/>
        </w:rPr>
        <w:t>部分中的</w:t>
      </w:r>
      <w:r>
        <w:rPr>
          <w:rFonts w:ascii="Times New Roman" w:hAnsi="Times New Roman" w:cs="Times New Roman"/>
          <w:color w:val="000000"/>
          <w:sz w:val="24"/>
        </w:rPr>
        <w:t>“</w:t>
      </w:r>
      <w:r>
        <w:rPr>
          <w:rFonts w:ascii="Times New Roman" w:hAnsi="Times New Roman" w:eastAsia="楷体_GB2312" w:cs="Times New Roman"/>
          <w:b/>
          <w:color w:val="000000"/>
          <w:sz w:val="24"/>
        </w:rPr>
        <w:t xml:space="preserve">Tickets: </w:t>
      </w:r>
      <w:r>
        <w:rPr>
          <w:rFonts w:ascii="Times New Roman" w:hAnsi="Times New Roman" w:eastAsia="楷体_GB2312" w:cs="Times New Roman"/>
          <w:color w:val="000000"/>
          <w:sz w:val="24"/>
        </w:rPr>
        <w:t xml:space="preserve">A through ticket is 210 </w:t>
      </w:r>
      <w:r>
        <w:rPr>
          <w:rFonts w:ascii="Times New Roman" w:hAnsi="Times New Roman" w:eastAsia="楷体_GB2312" w:cs="Times New Roman"/>
          <w:i/>
          <w:color w:val="000000"/>
          <w:sz w:val="24"/>
        </w:rPr>
        <w:t>yuan</w:t>
      </w:r>
      <w:r>
        <w:rPr>
          <w:rFonts w:ascii="Times New Roman" w:hAnsi="Times New Roman" w:eastAsia="楷体_GB2312" w:cs="Times New Roman"/>
          <w:color w:val="000000"/>
          <w:sz w:val="24"/>
        </w:rPr>
        <w:t xml:space="preserve"> (about$30), with free tickets for the performance of </w:t>
      </w:r>
      <w:r>
        <w:rPr>
          <w:rFonts w:ascii="Times New Roman" w:hAnsi="Times New Roman" w:eastAsia="楷体_GB2312" w:cs="Times New Roman"/>
          <w:i/>
          <w:color w:val="000000"/>
          <w:sz w:val="24"/>
        </w:rPr>
        <w:t>Ode</w:t>
      </w:r>
      <w:r>
        <w:rPr>
          <w:rFonts w:ascii="Times New Roman" w:hAnsi="Times New Roman" w:eastAsia="楷体_GB2312" w:cs="Times New Roman"/>
          <w:color w:val="000000"/>
          <w:sz w:val="24"/>
        </w:rPr>
        <w:t xml:space="preserve"> </w:t>
      </w:r>
      <w:r>
        <w:rPr>
          <w:rFonts w:ascii="Times New Roman" w:hAnsi="Times New Roman" w:eastAsia="楷体_GB2312" w:cs="Times New Roman"/>
          <w:i/>
          <w:color w:val="000000"/>
          <w:sz w:val="24"/>
        </w:rPr>
        <w:t>to</w:t>
      </w:r>
      <w:r>
        <w:rPr>
          <w:rFonts w:ascii="Times New Roman" w:hAnsi="Times New Roman" w:eastAsia="楷体_GB2312" w:cs="Times New Roman"/>
          <w:color w:val="000000"/>
          <w:sz w:val="24"/>
        </w:rPr>
        <w:t xml:space="preserve"> </w:t>
      </w:r>
      <w:r>
        <w:rPr>
          <w:rFonts w:ascii="Times New Roman" w:hAnsi="Times New Roman" w:eastAsia="楷体_GB2312" w:cs="Times New Roman"/>
          <w:i/>
          <w:color w:val="000000"/>
          <w:sz w:val="24"/>
        </w:rPr>
        <w:t>Auspiciousness</w:t>
      </w:r>
      <w:r>
        <w:rPr>
          <w:rFonts w:ascii="Times New Roman" w:hAnsi="Times New Roman" w:eastAsia="楷体_GB2312" w:cs="Times New Roman"/>
          <w:color w:val="000000"/>
          <w:sz w:val="24"/>
        </w:rPr>
        <w:t xml:space="preserve"> for individual visitors.</w:t>
      </w:r>
      <w:r>
        <w:rPr>
          <w:rFonts w:ascii="Times New Roman" w:hAnsi="Times New Roman" w:cs="Times New Roman"/>
          <w:color w:val="000000"/>
          <w:sz w:val="24"/>
        </w:rPr>
        <w:t>”</w:t>
      </w:r>
      <w:r>
        <w:rPr>
          <w:rFonts w:ascii="Times New Roman" w:hAnsi="Times New Roman" w:eastAsia="楷体_GB2312" w:cs="Times New Roman"/>
          <w:color w:val="000000"/>
          <w:sz w:val="24"/>
        </w:rPr>
        <w:t>可知，买到通票后这个演出是免费的。故选A。</w:t>
      </w:r>
    </w:p>
    <w:p w14:paraId="3607FFC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Why does the writer recommend the Brahma Palace to us?</w:t>
      </w:r>
    </w:p>
    <w:p w14:paraId="671E324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It's in front of the giant Buddha.</w:t>
      </w:r>
    </w:p>
    <w:p w14:paraId="60653CF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Visitors can enjoy a huge lotus there.</w:t>
      </w:r>
    </w:p>
    <w:p w14:paraId="6441CAC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Its design and collections are amazing.</w:t>
      </w:r>
    </w:p>
    <w:p w14:paraId="0E9D0BCB">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Many traditional cultural items are on sale.</w:t>
      </w:r>
    </w:p>
    <w:p w14:paraId="2722962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推理判断题。根据最后一段的内容可知，梵宫体现了传统文化元素与西方建筑特色的融合，还拥有许多文化遗产项目和艺术作品。所以作者推荐梵宫是因为它的设计和收藏令人惊叹。故选C。</w:t>
      </w:r>
    </w:p>
    <w:p w14:paraId="5BE91992">
      <w:pPr>
        <w:pStyle w:val="2"/>
        <w:tabs>
          <w:tab w:val="left" w:pos="4320"/>
        </w:tabs>
        <w:snapToGrid w:val="0"/>
        <w:spacing w:line="360" w:lineRule="auto"/>
        <w:rPr>
          <w:rFonts w:ascii="Times New Roman" w:hAnsi="Times New Roman" w:cs="Times New Roman"/>
          <w:color w:val="000000"/>
          <w:sz w:val="24"/>
        </w:rPr>
      </w:pPr>
      <w:r>
        <w:rPr>
          <w:rFonts w:hint="eastAsia" w:hAnsi="宋体" w:eastAsia="黑体" w:cs="宋体"/>
          <w:color w:val="000000"/>
          <w:sz w:val="24"/>
        </w:rPr>
        <w:t>Ⅱ</w:t>
      </w:r>
      <w:r>
        <w:rPr>
          <w:rFonts w:ascii="Times New Roman" w:hAnsi="Times New Roman" w:eastAsia="黑体" w:cs="Times New Roman"/>
          <w:color w:val="000000"/>
          <w:sz w:val="24"/>
        </w:rPr>
        <w:t>. 七选五</w:t>
      </w:r>
    </w:p>
    <w:p w14:paraId="6A9EA2B0">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A primary goal of culturally responsive education is to help all students become respectful of various cultures and people that they'll interact with. However, the world is more complex and diverse than the environment that students inhabit. </w:t>
      </w:r>
      <w:r>
        <w:rPr>
          <w:rFonts w:ascii="Times New Roman" w:hAnsi="Times New Roman" w:cs="Times New Roman"/>
          <w:color w:val="000000"/>
          <w:sz w:val="24"/>
          <w:u w:val="single"/>
        </w:rPr>
        <w:t>　1　</w:t>
      </w:r>
      <w:r>
        <w:rPr>
          <w:rFonts w:ascii="Times New Roman" w:hAnsi="Times New Roman" w:cs="Times New Roman"/>
          <w:color w:val="000000"/>
          <w:sz w:val="24"/>
        </w:rPr>
        <w:t xml:space="preserve"> Then what might an educator do to promote diverse cultures in the classroom?</w:t>
      </w:r>
    </w:p>
    <w:p w14:paraId="79381058">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Classroom activities often work well. For example, educators can show students photographs of people from different cultures every day. </w:t>
      </w:r>
      <w:r>
        <w:rPr>
          <w:rFonts w:ascii="Times New Roman" w:hAnsi="Times New Roman" w:cs="Times New Roman"/>
          <w:color w:val="000000"/>
          <w:sz w:val="24"/>
          <w:u w:val="single"/>
        </w:rPr>
        <w:t>　2　</w:t>
      </w:r>
      <w:r>
        <w:rPr>
          <w:rFonts w:ascii="Times New Roman" w:hAnsi="Times New Roman" w:cs="Times New Roman"/>
          <w:color w:val="000000"/>
          <w:sz w:val="24"/>
        </w:rPr>
        <w:t xml:space="preserve"> In this process, they'll gradually learn to know and accept each kind of looks. It's important to avoid teaching students about the same role models repeatedly.</w:t>
      </w:r>
    </w:p>
    <w:p w14:paraId="7C8481ED">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u w:val="single"/>
        </w:rPr>
        <w:t>　3　</w:t>
      </w:r>
      <w:r>
        <w:rPr>
          <w:rFonts w:ascii="Times New Roman" w:hAnsi="Times New Roman" w:cs="Times New Roman"/>
          <w:color w:val="000000"/>
          <w:sz w:val="24"/>
        </w:rPr>
        <w:t xml:space="preserve"> Wall spaces can be used to display posters about cultural groups. Students can mark the countries from which their ancestors immigrated on a world map. And classroom signs can be hung in several languages. Such cultural exposure helps remind the students that people from diverse backgrounds are all born equal, protecting students from the cultural stereotypes (刻板印象)．</w:t>
      </w:r>
    </w:p>
    <w:p w14:paraId="6D4AFEC8">
      <w:pPr>
        <w:pStyle w:val="2"/>
        <w:tabs>
          <w:tab w:val="left" w:pos="4320"/>
        </w:tabs>
        <w:snapToGrid w:val="0"/>
        <w:spacing w:line="360" w:lineRule="auto"/>
        <w:ind w:firstLine="480" w:firstLineChars="200"/>
        <w:rPr>
          <w:rFonts w:ascii="Times New Roman" w:hAnsi="Times New Roman" w:cs="Times New Roman"/>
          <w:color w:val="000000"/>
          <w:sz w:val="24"/>
        </w:rPr>
      </w:pPr>
      <w:bookmarkStart w:id="0" w:name="_GoBack"/>
      <w:bookmarkEnd w:id="0"/>
      <w:r>
        <w:rPr>
          <w:rFonts w:ascii="Times New Roman" w:hAnsi="Times New Roman" w:cs="Times New Roman"/>
          <w:color w:val="000000"/>
          <w:sz w:val="24"/>
        </w:rPr>
        <w:t xml:space="preserve">Another important goal of education is to teach students to appreciate their own culture. </w:t>
      </w:r>
      <w:r>
        <w:rPr>
          <w:rFonts w:ascii="Times New Roman" w:hAnsi="Times New Roman" w:cs="Times New Roman"/>
          <w:color w:val="000000"/>
          <w:sz w:val="24"/>
          <w:u w:val="single"/>
        </w:rPr>
        <w:t>　4　</w:t>
      </w:r>
      <w:r>
        <w:rPr>
          <w:rFonts w:ascii="Times New Roman" w:hAnsi="Times New Roman" w:cs="Times New Roman"/>
          <w:color w:val="000000"/>
          <w:sz w:val="24"/>
        </w:rPr>
        <w:t xml:space="preserve"> To fit in with the social order, they sometimes have to change or remove their cultural behaviours. To avoid this situation, investigating unique characteristics of their community is one effective way to help students gain a greater appreciation of their own culture. Educators can encourage students to interview their family members about cultural practices and traditions and then share them with pride. </w:t>
      </w:r>
      <w:r>
        <w:rPr>
          <w:rFonts w:ascii="Times New Roman" w:hAnsi="Times New Roman" w:cs="Times New Roman"/>
          <w:color w:val="000000"/>
          <w:sz w:val="24"/>
          <w:u w:val="single"/>
        </w:rPr>
        <w:t>　5　</w:t>
      </w:r>
    </w:p>
    <w:p w14:paraId="0A3CFB4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This can be a challenging task for educators.</w:t>
      </w:r>
    </w:p>
    <w:p w14:paraId="5473EDA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Over time, wall spaces will expose students to rich diversity.</w:t>
      </w:r>
    </w:p>
    <w:p w14:paraId="2CF3007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This activity can motivate students to show themselves bravely.</w:t>
      </w:r>
    </w:p>
    <w:p w14:paraId="345FB26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Students can see various appearances and find beauty from each.</w:t>
      </w:r>
    </w:p>
    <w:p w14:paraId="2BA4DAE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E. Gradually, they will start to build confidence in their own culture.</w:t>
      </w:r>
    </w:p>
    <w:p w14:paraId="55345F3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F. Minority students may feel pressured to live in a multicultural group.</w:t>
      </w:r>
    </w:p>
    <w:p w14:paraId="741DB46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G. Providing a culturally responsive learning environment is also critical.</w:t>
      </w:r>
    </w:p>
    <w:p w14:paraId="5945835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FF0000"/>
          <w:sz w:val="24"/>
        </w:rPr>
        <w:t>答案：</w:t>
      </w:r>
      <w:r>
        <w:rPr>
          <w:rFonts w:ascii="Times New Roman" w:hAnsi="Times New Roman" w:cs="Times New Roman"/>
          <w:color w:val="000000"/>
          <w:sz w:val="24"/>
        </w:rPr>
        <w:t>1～5　ADGFE</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A2D5D">
    <w:pPr>
      <w:pStyle w:val="4"/>
      <w:jc w:val="center"/>
    </w:pPr>
    <w:r>
      <w:fldChar w:fldCharType="begin"/>
    </w:r>
    <w:r>
      <w:instrText xml:space="preserve"> PAGE  \* MERGEFORMAT </w:instrText>
    </w:r>
    <w:r>
      <w:fldChar w:fldCharType="separate"/>
    </w:r>
    <w:r>
      <w:t>3</w:t>
    </w:r>
    <w:r>
      <w:fldChar w:fldCharType="end"/>
    </w:r>
    <w:r>
      <w:t>/</w:t>
    </w:r>
    <w:r>
      <w:fldChar w:fldCharType="begin"/>
    </w:r>
    <w:r>
      <w:instrText xml:space="preserve"> NUMPAGES  \* MERGEFORMAT </w:instrText>
    </w:r>
    <w:r>
      <w:fldChar w:fldCharType="separate"/>
    </w:r>
    <w:r>
      <w:t>3</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90355"/>
    <w:rsid w:val="000F6696"/>
    <w:rsid w:val="00125270"/>
    <w:rsid w:val="001C6B00"/>
    <w:rsid w:val="001D6127"/>
    <w:rsid w:val="00205CF5"/>
    <w:rsid w:val="00242A82"/>
    <w:rsid w:val="002E1687"/>
    <w:rsid w:val="003B2955"/>
    <w:rsid w:val="00411C51"/>
    <w:rsid w:val="00524947"/>
    <w:rsid w:val="005E0C58"/>
    <w:rsid w:val="00640329"/>
    <w:rsid w:val="00650E07"/>
    <w:rsid w:val="006679F3"/>
    <w:rsid w:val="006C5932"/>
    <w:rsid w:val="006F22C3"/>
    <w:rsid w:val="007C29F3"/>
    <w:rsid w:val="00825062"/>
    <w:rsid w:val="00850AFC"/>
    <w:rsid w:val="00881ACD"/>
    <w:rsid w:val="00892625"/>
    <w:rsid w:val="008A7DC3"/>
    <w:rsid w:val="008C213E"/>
    <w:rsid w:val="00954897"/>
    <w:rsid w:val="00A352BF"/>
    <w:rsid w:val="00A914FB"/>
    <w:rsid w:val="00B6364F"/>
    <w:rsid w:val="00C10E5F"/>
    <w:rsid w:val="00C8702E"/>
    <w:rsid w:val="00D85921"/>
    <w:rsid w:val="00E57DF5"/>
    <w:rsid w:val="00E57E40"/>
    <w:rsid w:val="00E9217D"/>
    <w:rsid w:val="00E966D8"/>
    <w:rsid w:val="00F31AFD"/>
    <w:rsid w:val="00F671DE"/>
    <w:rsid w:val="2FAD7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8"/>
    <w:uiPriority w:val="0"/>
    <w:rPr>
      <w:rFonts w:hAnsi="Courier New" w:cs="Courier New" w:asciiTheme="minorEastAsia" w:eastAsiaTheme="minorEastAsia"/>
    </w:rPr>
  </w:style>
  <w:style w:type="paragraph" w:styleId="3">
    <w:name w:val="Balloon Text"/>
    <w:basedOn w:val="1"/>
    <w:link w:val="11"/>
    <w:uiPriority w:val="0"/>
    <w:rPr>
      <w:sz w:val="18"/>
      <w:szCs w:val="18"/>
    </w:rPr>
  </w:style>
  <w:style w:type="paragraph" w:styleId="4">
    <w:name w:val="footer"/>
    <w:basedOn w:val="1"/>
    <w:link w:val="10"/>
    <w:uiPriority w:val="0"/>
    <w:pPr>
      <w:tabs>
        <w:tab w:val="center" w:pos="4153"/>
        <w:tab w:val="right" w:pos="8306"/>
      </w:tabs>
      <w:snapToGrid w:val="0"/>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uiPriority w:val="0"/>
    <w:rPr>
      <w:rFonts w:hAnsi="Courier New" w:cs="Courier New" w:asciiTheme="minorEastAsia" w:eastAsiaTheme="minorEastAsia"/>
      <w:kern w:val="2"/>
      <w:sz w:val="21"/>
      <w:szCs w:val="24"/>
    </w:rPr>
  </w:style>
  <w:style w:type="character" w:customStyle="1" w:styleId="9">
    <w:name w:val="页眉 Char"/>
    <w:basedOn w:val="7"/>
    <w:link w:val="5"/>
    <w:uiPriority w:val="0"/>
    <w:rPr>
      <w:kern w:val="2"/>
      <w:sz w:val="18"/>
      <w:szCs w:val="18"/>
    </w:rPr>
  </w:style>
  <w:style w:type="character" w:customStyle="1" w:styleId="10">
    <w:name w:val="页脚 Char"/>
    <w:basedOn w:val="7"/>
    <w:link w:val="4"/>
    <w:uiPriority w:val="0"/>
    <w:rPr>
      <w:kern w:val="2"/>
      <w:sz w:val="18"/>
      <w:szCs w:val="18"/>
    </w:rPr>
  </w:style>
  <w:style w:type="character" w:customStyle="1" w:styleId="11">
    <w:name w:val="批注框文本 Char"/>
    <w:basedOn w:val="7"/>
    <w:link w:val="3"/>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file:///E:\&#35838;&#20214;\25&#31179;-26&#26149;&#28023;&#21335;&#26032;&#35838;&#31243;&#21516;&#27493;&#32451;&#20064;&#20876;%2520&#33521;&#35821;&#22806;&#30740;&#36873;&#25321;&#24615;&#24517;&#20462;&#31532;&#22235;&#20876;&#25945;&#24072;&#29992;&#20070;&#65288;&#21021;&#31295;&#65289;%2520222\3.&#37197;&#22871;&#32451;&#20064;&#39064;\&#35838;&#21518;&#32032;&#20859;&#35780;&#20215;\&#35838;&#21518;&#32032;&#20859;&#35780;&#20215;9.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985</Words>
  <Characters>3998</Characters>
  <Lines>33</Lines>
  <Paragraphs>9</Paragraphs>
  <TotalTime>7</TotalTime>
  <ScaleCrop>false</ScaleCrop>
  <LinksUpToDate>false</LinksUpToDate>
  <CharactersWithSpaces>4712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2024-08-13T06:38:00Z</dcterms:created>
  <dc:creator>XSL</dc:creator>
  <cp:keywords>QQ752179280</cp:keywords>
  <cp:lastModifiedBy>琳</cp:lastModifiedBy>
  <dcterms:modified xsi:type="dcterms:W3CDTF">2025-10-13T08:23:52Z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eyJoZGlkIjoiYWI3M2I0NTJkOTYwMmFlMDJkZjVlYjk2MzE0ZWU3ZWQiLCJ1c2VySWQiOiI0MjE5MjQ3ODMifQ==</vt:lpwstr>
  </property>
  <property fmtid="{D5CDD505-2E9C-101B-9397-08002B2CF9AE}" pid="3" name="KSOProductBuildVer">
    <vt:lpwstr>2052-12.1.0.22529</vt:lpwstr>
  </property>
  <property fmtid="{D5CDD505-2E9C-101B-9397-08002B2CF9AE}" pid="4" name="ICV">
    <vt:lpwstr>F01E45DE64884D2BAD6E74874AA05C6D_12</vt:lpwstr>
  </property>
</Properties>
</file>